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C73A74" w14:paraId="38A2EC57" w14:textId="77777777" w:rsidTr="006B383F">
        <w:tc>
          <w:tcPr>
            <w:tcW w:w="2155" w:type="dxa"/>
            <w:shd w:val="clear" w:color="auto" w:fill="F2F2F2" w:themeFill="background1" w:themeFillShade="F2"/>
          </w:tcPr>
          <w:p w14:paraId="3A81370A" w14:textId="24F6D611" w:rsidR="0056302B" w:rsidRPr="00C73A74" w:rsidRDefault="0056302B" w:rsidP="002F1DCF">
            <w:pPr>
              <w:pStyle w:val="Heading2"/>
              <w:rPr>
                <w:lang w:val="en-GB"/>
              </w:rPr>
            </w:pPr>
            <w:r w:rsidRPr="00C73A74">
              <w:t>Role</w:t>
            </w:r>
          </w:p>
        </w:tc>
        <w:tc>
          <w:tcPr>
            <w:tcW w:w="6885" w:type="dxa"/>
            <w:gridSpan w:val="3"/>
          </w:tcPr>
          <w:p w14:paraId="4B09237A" w14:textId="2BACD9C3" w:rsidR="0056302B" w:rsidRPr="00C73A74" w:rsidRDefault="00B212D5" w:rsidP="002F1DCF">
            <w:pPr>
              <w:rPr>
                <w:lang w:val="en-GB"/>
              </w:rPr>
            </w:pPr>
            <w:r w:rsidRPr="00C73A74">
              <w:rPr>
                <w:lang w:val="en-GB"/>
              </w:rPr>
              <w:t>ACADEMIC ADMINISTRATOR</w:t>
            </w:r>
          </w:p>
        </w:tc>
      </w:tr>
      <w:tr w:rsidR="0056302B" w:rsidRPr="00C73A74" w14:paraId="4CBA0403" w14:textId="31376B48" w:rsidTr="0056302B">
        <w:tc>
          <w:tcPr>
            <w:tcW w:w="2155" w:type="dxa"/>
            <w:tcBorders>
              <w:bottom w:val="single" w:sz="4" w:space="0" w:color="auto"/>
            </w:tcBorders>
            <w:shd w:val="clear" w:color="auto" w:fill="F2F2F2" w:themeFill="background1" w:themeFillShade="F2"/>
          </w:tcPr>
          <w:p w14:paraId="5D51AA75" w14:textId="2DFF10D2" w:rsidR="0056302B" w:rsidRPr="00C73A74" w:rsidRDefault="0056302B" w:rsidP="002F1DCF">
            <w:pPr>
              <w:pStyle w:val="Heading2"/>
              <w:rPr>
                <w:lang w:val="en-GB"/>
              </w:rPr>
            </w:pPr>
            <w:r w:rsidRPr="00C73A74">
              <w:t>Standardis</w:t>
            </w:r>
            <w:r w:rsidR="00C07B27" w:rsidRPr="00C73A74">
              <w:t>ed</w:t>
            </w:r>
            <w:r w:rsidRPr="00C73A74">
              <w:rPr>
                <w:lang w:val="en-GB"/>
              </w:rPr>
              <w:t xml:space="preserve"> </w:t>
            </w:r>
            <w:r w:rsidR="00C07B27" w:rsidRPr="00C73A74">
              <w:rPr>
                <w:lang w:val="en-GB"/>
              </w:rPr>
              <w:t>j</w:t>
            </w:r>
            <w:r w:rsidRPr="00C73A74">
              <w:rPr>
                <w:lang w:val="en-GB"/>
              </w:rPr>
              <w:t>ob description code</w:t>
            </w:r>
          </w:p>
        </w:tc>
        <w:tc>
          <w:tcPr>
            <w:tcW w:w="4590" w:type="dxa"/>
            <w:tcBorders>
              <w:bottom w:val="single" w:sz="4" w:space="0" w:color="auto"/>
            </w:tcBorders>
          </w:tcPr>
          <w:p w14:paraId="601EB54F" w14:textId="5EC5BEEB" w:rsidR="0056302B" w:rsidRPr="00C73A74" w:rsidRDefault="00B212D5" w:rsidP="002F1DCF">
            <w:pPr>
              <w:rPr>
                <w:lang w:val="en-GB"/>
              </w:rPr>
            </w:pPr>
            <w:r w:rsidRPr="00C73A74">
              <w:rPr>
                <w:lang w:val="en-GB"/>
              </w:rPr>
              <w:t>GENAT-06</w:t>
            </w:r>
          </w:p>
        </w:tc>
        <w:tc>
          <w:tcPr>
            <w:tcW w:w="1147" w:type="dxa"/>
            <w:tcBorders>
              <w:bottom w:val="single" w:sz="4" w:space="0" w:color="auto"/>
            </w:tcBorders>
          </w:tcPr>
          <w:p w14:paraId="151E76A3" w14:textId="26179030" w:rsidR="0056302B" w:rsidRPr="00C73A74" w:rsidRDefault="0056302B" w:rsidP="002F1DCF">
            <w:pPr>
              <w:pStyle w:val="Heading2"/>
              <w:rPr>
                <w:lang w:val="en-GB"/>
              </w:rPr>
            </w:pPr>
            <w:r w:rsidRPr="00C73A74">
              <w:t>Grade</w:t>
            </w:r>
          </w:p>
        </w:tc>
        <w:tc>
          <w:tcPr>
            <w:tcW w:w="1148" w:type="dxa"/>
            <w:tcBorders>
              <w:bottom w:val="single" w:sz="4" w:space="0" w:color="auto"/>
            </w:tcBorders>
          </w:tcPr>
          <w:p w14:paraId="361B7E33" w14:textId="6D9F4A6F" w:rsidR="0056302B" w:rsidRPr="00C73A74" w:rsidRDefault="00901FDC" w:rsidP="002F1DCF">
            <w:pPr>
              <w:rPr>
                <w:lang w:val="en-GB"/>
              </w:rPr>
            </w:pPr>
            <w:r w:rsidRPr="00C73A74">
              <w:rPr>
                <w:lang w:val="en-GB"/>
              </w:rPr>
              <w:t>7</w:t>
            </w:r>
          </w:p>
        </w:tc>
      </w:tr>
      <w:tr w:rsidR="0056302B" w:rsidRPr="00C73A74" w14:paraId="1E442919" w14:textId="77777777" w:rsidTr="0056302B">
        <w:tc>
          <w:tcPr>
            <w:tcW w:w="9040" w:type="dxa"/>
            <w:gridSpan w:val="4"/>
            <w:shd w:val="clear" w:color="auto" w:fill="BFBFBF" w:themeFill="background1" w:themeFillShade="BF"/>
          </w:tcPr>
          <w:p w14:paraId="36E22F7A" w14:textId="1A649C3A" w:rsidR="0056302B" w:rsidRPr="00C73A74" w:rsidRDefault="0056302B" w:rsidP="002F1DCF">
            <w:pPr>
              <w:pStyle w:val="Heading2"/>
              <w:rPr>
                <w:lang w:val="en-GB"/>
              </w:rPr>
            </w:pPr>
            <w:r w:rsidRPr="00C73A74">
              <w:rPr>
                <w:lang w:val="en-GB"/>
              </w:rPr>
              <w:t xml:space="preserve">Role </w:t>
            </w:r>
            <w:r w:rsidRPr="00C73A74">
              <w:t>Purpose</w:t>
            </w:r>
          </w:p>
        </w:tc>
      </w:tr>
      <w:tr w:rsidR="0056302B" w:rsidRPr="00C73A74" w14:paraId="7C193405" w14:textId="77777777" w:rsidTr="0056302B">
        <w:tc>
          <w:tcPr>
            <w:tcW w:w="9040" w:type="dxa"/>
            <w:gridSpan w:val="4"/>
            <w:tcBorders>
              <w:bottom w:val="single" w:sz="4" w:space="0" w:color="auto"/>
            </w:tcBorders>
            <w:shd w:val="clear" w:color="auto" w:fill="F2F2F2" w:themeFill="background1" w:themeFillShade="F2"/>
          </w:tcPr>
          <w:p w14:paraId="2DDFC1C3" w14:textId="03F540B9" w:rsidR="0056302B" w:rsidRPr="00C73A74" w:rsidRDefault="00C73A74" w:rsidP="002F1DCF">
            <w:pPr>
              <w:rPr>
                <w:lang w:val="en-GB"/>
              </w:rPr>
            </w:pPr>
            <w:r w:rsidRPr="00C73A74">
              <w:rPr>
                <w:rFonts w:cstheme="majorHAnsi"/>
                <w:szCs w:val="16"/>
              </w:rPr>
              <w:t xml:space="preserve">Provide </w:t>
            </w:r>
            <w:r w:rsidR="008F3AEA">
              <w:rPr>
                <w:rFonts w:cstheme="majorHAnsi"/>
                <w:szCs w:val="16"/>
              </w:rPr>
              <w:t>operational leadership for</w:t>
            </w:r>
            <w:r w:rsidRPr="00C73A74">
              <w:rPr>
                <w:rFonts w:cstheme="majorHAnsi"/>
                <w:szCs w:val="16"/>
              </w:rPr>
              <w:t xml:space="preserve"> academic administration within the </w:t>
            </w:r>
            <w:proofErr w:type="gramStart"/>
            <w:r w:rsidRPr="00C73A74">
              <w:rPr>
                <w:rFonts w:cstheme="majorHAnsi"/>
                <w:szCs w:val="16"/>
              </w:rPr>
              <w:t>Faculty</w:t>
            </w:r>
            <w:proofErr w:type="gramEnd"/>
            <w:r w:rsidRPr="00C73A74">
              <w:rPr>
                <w:rFonts w:cstheme="majorHAnsi"/>
                <w:szCs w:val="16"/>
              </w:rPr>
              <w:t>, ensuring the effective delivery of student, teaching, and assessment processes. Lead and develop a small team of administrative staff, take ownership of complex academic procedures, and implement improvements to enhance operational efficiency, quality assurance, and the student experience. Serve as a key advisor to academic colleagues and committees, applying expert knowledge of university regulations and policies.</w:t>
            </w:r>
          </w:p>
        </w:tc>
      </w:tr>
      <w:tr w:rsidR="0056302B" w:rsidRPr="00C73A74" w14:paraId="2B66738E" w14:textId="77777777" w:rsidTr="0056302B">
        <w:tc>
          <w:tcPr>
            <w:tcW w:w="9040" w:type="dxa"/>
            <w:gridSpan w:val="4"/>
            <w:shd w:val="clear" w:color="auto" w:fill="BFBFBF" w:themeFill="background1" w:themeFillShade="BF"/>
          </w:tcPr>
          <w:p w14:paraId="3046E907" w14:textId="1AC00360" w:rsidR="0056302B" w:rsidRPr="00C73A74" w:rsidRDefault="0056302B" w:rsidP="002F1DCF">
            <w:pPr>
              <w:pStyle w:val="Heading2"/>
              <w:rPr>
                <w:lang w:val="en-GB"/>
              </w:rPr>
            </w:pPr>
            <w:r w:rsidRPr="00C73A74">
              <w:t>Grade</w:t>
            </w:r>
            <w:r w:rsidRPr="00C73A74">
              <w:rPr>
                <w:lang w:val="en-GB"/>
              </w:rPr>
              <w:t xml:space="preserve"> Descriptors</w:t>
            </w:r>
          </w:p>
        </w:tc>
      </w:tr>
      <w:tr w:rsidR="0056302B" w:rsidRPr="00C73A74" w14:paraId="093BDA7D" w14:textId="77777777" w:rsidTr="00160D7A">
        <w:tc>
          <w:tcPr>
            <w:tcW w:w="9040" w:type="dxa"/>
            <w:gridSpan w:val="4"/>
            <w:shd w:val="clear" w:color="auto" w:fill="F2F2F2" w:themeFill="background1" w:themeFillShade="F2"/>
          </w:tcPr>
          <w:p w14:paraId="6295005D" w14:textId="3565E69F" w:rsidR="0056302B" w:rsidRPr="00C73A74" w:rsidRDefault="0056302B" w:rsidP="002F1DCF">
            <w:pPr>
              <w:rPr>
                <w:lang w:val="en-GB"/>
              </w:rPr>
            </w:pPr>
            <w:r w:rsidRPr="00C73A74">
              <w:t xml:space="preserve">[high level core purpose commensurate with grade descriptor] </w:t>
            </w:r>
            <w:r w:rsidRPr="00C73A74">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01FDC" w:rsidRPr="00B242F6" w14:paraId="4ECFA959" w14:textId="77777777" w:rsidTr="0056302B">
        <w:trPr>
          <w:trHeight w:val="35"/>
        </w:trPr>
        <w:tc>
          <w:tcPr>
            <w:tcW w:w="9040" w:type="dxa"/>
            <w:shd w:val="clear" w:color="auto" w:fill="F2F2F2" w:themeFill="background1" w:themeFillShade="F2"/>
          </w:tcPr>
          <w:p w14:paraId="33E40CE6" w14:textId="600033BA" w:rsidR="00901FDC" w:rsidRPr="008F3AEA" w:rsidRDefault="008F3AEA" w:rsidP="008F3AEA">
            <w:pPr>
              <w:pStyle w:val="ListParagraph"/>
              <w:numPr>
                <w:ilvl w:val="0"/>
                <w:numId w:val="23"/>
              </w:numPr>
              <w:rPr>
                <w:color w:val="0070C0"/>
                <w:szCs w:val="16"/>
              </w:rPr>
            </w:pPr>
            <w:r w:rsidRPr="008F3AEA">
              <w:rPr>
                <w:color w:val="0070C0"/>
                <w:szCs w:val="16"/>
              </w:rPr>
              <w:t>Provides leadership and oversight to a small administrative team, fostering professional development, performance management, and accountability.</w:t>
            </w:r>
          </w:p>
        </w:tc>
      </w:tr>
      <w:tr w:rsidR="008F3AEA" w:rsidRPr="00B242F6" w14:paraId="3866F078" w14:textId="77777777" w:rsidTr="0056302B">
        <w:trPr>
          <w:trHeight w:val="35"/>
        </w:trPr>
        <w:tc>
          <w:tcPr>
            <w:tcW w:w="9040" w:type="dxa"/>
            <w:shd w:val="clear" w:color="auto" w:fill="F2F2F2" w:themeFill="background1" w:themeFillShade="F2"/>
          </w:tcPr>
          <w:p w14:paraId="2781C4C8" w14:textId="02E691E2" w:rsidR="008F3AEA" w:rsidRDefault="008F3AEA" w:rsidP="008F3AEA">
            <w:pPr>
              <w:pStyle w:val="ListParagraph"/>
              <w:numPr>
                <w:ilvl w:val="0"/>
                <w:numId w:val="23"/>
              </w:numPr>
              <w:rPr>
                <w:lang w:val="en-GB"/>
              </w:rPr>
            </w:pPr>
            <w:r w:rsidRPr="008F3AEA">
              <w:rPr>
                <w:color w:val="0070C0"/>
                <w:szCs w:val="16"/>
              </w:rPr>
              <w:t>Plans, coordinates, and monitors budgets, resources, projects, and operational priorities to ensure effective delivery of Faculty objectives</w:t>
            </w:r>
            <w:r>
              <w:rPr>
                <w:color w:val="0070C0"/>
                <w:szCs w:val="16"/>
              </w:rPr>
              <w:t>.</w:t>
            </w:r>
          </w:p>
        </w:tc>
      </w:tr>
      <w:tr w:rsidR="008F3AEA" w:rsidRPr="00B242F6" w14:paraId="11EB7D76" w14:textId="77777777" w:rsidTr="0056302B">
        <w:trPr>
          <w:trHeight w:val="35"/>
        </w:trPr>
        <w:tc>
          <w:tcPr>
            <w:tcW w:w="9040" w:type="dxa"/>
            <w:shd w:val="clear" w:color="auto" w:fill="F2F2F2" w:themeFill="background1" w:themeFillShade="F2"/>
          </w:tcPr>
          <w:p w14:paraId="6EA38328" w14:textId="0712E2D9" w:rsidR="008F3AEA" w:rsidRPr="008F3AEA" w:rsidRDefault="008F3AEA" w:rsidP="008F3AEA">
            <w:pPr>
              <w:pStyle w:val="ListParagraph"/>
              <w:numPr>
                <w:ilvl w:val="0"/>
                <w:numId w:val="23"/>
              </w:numPr>
              <w:rPr>
                <w:color w:val="0070C0"/>
                <w:szCs w:val="16"/>
              </w:rPr>
            </w:pPr>
            <w:r w:rsidRPr="008F3AEA">
              <w:rPr>
                <w:color w:val="0070C0"/>
                <w:szCs w:val="16"/>
              </w:rPr>
              <w:t>Demonstrates extensive expertise in academic administration, University regulations, and operational best practice.</w:t>
            </w:r>
          </w:p>
        </w:tc>
      </w:tr>
      <w:tr w:rsidR="008F3AEA" w:rsidRPr="00B242F6" w14:paraId="2D8F5173" w14:textId="77777777" w:rsidTr="0056302B">
        <w:trPr>
          <w:trHeight w:val="35"/>
        </w:trPr>
        <w:tc>
          <w:tcPr>
            <w:tcW w:w="9040" w:type="dxa"/>
            <w:shd w:val="clear" w:color="auto" w:fill="F2F2F2" w:themeFill="background1" w:themeFillShade="F2"/>
          </w:tcPr>
          <w:p w14:paraId="4E4E513C" w14:textId="790856ED" w:rsidR="008F3AEA" w:rsidRPr="008F3AEA" w:rsidRDefault="008F3AEA" w:rsidP="008F3AEA">
            <w:pPr>
              <w:pStyle w:val="ListParagraph"/>
              <w:numPr>
                <w:ilvl w:val="0"/>
                <w:numId w:val="23"/>
              </w:numPr>
              <w:rPr>
                <w:color w:val="0070C0"/>
                <w:szCs w:val="16"/>
              </w:rPr>
            </w:pPr>
            <w:r w:rsidRPr="008F3AEA">
              <w:rPr>
                <w:color w:val="0070C0"/>
                <w:szCs w:val="16"/>
              </w:rPr>
              <w:t>Leads comprehensive analysis and interpretation of complex data to inform strategic decision-making and policy development.</w:t>
            </w:r>
          </w:p>
        </w:tc>
      </w:tr>
      <w:tr w:rsidR="008F3AEA" w:rsidRPr="00B242F6" w14:paraId="6942D974" w14:textId="77777777" w:rsidTr="00BB01C3">
        <w:trPr>
          <w:trHeight w:val="30"/>
        </w:trPr>
        <w:tc>
          <w:tcPr>
            <w:tcW w:w="9040" w:type="dxa"/>
            <w:shd w:val="clear" w:color="auto" w:fill="F2F2F2" w:themeFill="background1" w:themeFillShade="F2"/>
          </w:tcPr>
          <w:p w14:paraId="19519160" w14:textId="6192D329" w:rsidR="008F3AEA" w:rsidRPr="008F3AEA" w:rsidRDefault="008F3AEA" w:rsidP="008F3AEA">
            <w:pPr>
              <w:pStyle w:val="ListParagraph"/>
              <w:numPr>
                <w:ilvl w:val="0"/>
                <w:numId w:val="23"/>
              </w:numPr>
              <w:rPr>
                <w:color w:val="0070C0"/>
                <w:szCs w:val="16"/>
              </w:rPr>
            </w:pPr>
            <w:r w:rsidRPr="008F3AEA">
              <w:rPr>
                <w:color w:val="0070C0"/>
                <w:szCs w:val="16"/>
              </w:rPr>
              <w:t>Prepares detailed reports, briefings, and recommendations for committees and senior stakeholders to support informed decision-making.</w:t>
            </w:r>
          </w:p>
        </w:tc>
      </w:tr>
      <w:tr w:rsidR="00901FDC" w:rsidRPr="00B242F6" w14:paraId="0ABD7686" w14:textId="77777777" w:rsidTr="00BB01C3">
        <w:trPr>
          <w:trHeight w:val="30"/>
        </w:trPr>
        <w:tc>
          <w:tcPr>
            <w:tcW w:w="9040" w:type="dxa"/>
            <w:shd w:val="clear" w:color="auto" w:fill="F2F2F2" w:themeFill="background1" w:themeFillShade="F2"/>
          </w:tcPr>
          <w:p w14:paraId="0DBC455B" w14:textId="553A57B8" w:rsidR="00901FDC" w:rsidRPr="00B212D5" w:rsidRDefault="008F3AEA" w:rsidP="00B212D5">
            <w:pPr>
              <w:pStyle w:val="ListParagraph"/>
              <w:numPr>
                <w:ilvl w:val="0"/>
                <w:numId w:val="23"/>
              </w:numPr>
              <w:rPr>
                <w:color w:val="0070C0"/>
                <w:lang w:val="en-GB"/>
              </w:rPr>
            </w:pPr>
            <w:r w:rsidRPr="008F3AEA">
              <w:rPr>
                <w:color w:val="0070C0"/>
                <w:szCs w:val="16"/>
              </w:rPr>
              <w:t>Cultivates strong relationships with internal and external stakeholders to facilitate collaboration, compliance, and achievement of Faculty goals.</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002F1DCF">
        <w:trPr>
          <w:trHeight w:val="86"/>
        </w:trPr>
        <w:tc>
          <w:tcPr>
            <w:tcW w:w="9040" w:type="dxa"/>
            <w:shd w:val="clear" w:color="auto" w:fill="D9D9D9" w:themeFill="background1" w:themeFillShade="D9"/>
          </w:tcPr>
          <w:p w14:paraId="77D7133A" w14:textId="3D6B0623" w:rsidR="00973885" w:rsidRPr="002F1DCF" w:rsidRDefault="002F1DCF" w:rsidP="002F1DCF">
            <w:pPr>
              <w:rPr>
                <w:b/>
                <w:szCs w:val="16"/>
              </w:rPr>
            </w:pPr>
            <w:r w:rsidRPr="005D4D80">
              <w:rPr>
                <w:b/>
                <w:szCs w:val="16"/>
              </w:rPr>
              <w:t xml:space="preserve">CORE RESPONSIBILITIES [high level work which applies to multiple employees] </w:t>
            </w:r>
          </w:p>
        </w:tc>
      </w:tr>
      <w:tr w:rsidR="002F1DCF" w:rsidRPr="00B242F6" w14:paraId="500AF51E" w14:textId="77777777" w:rsidTr="00B47B3D">
        <w:trPr>
          <w:trHeight w:val="85"/>
        </w:trPr>
        <w:tc>
          <w:tcPr>
            <w:tcW w:w="9040" w:type="dxa"/>
            <w:shd w:val="clear" w:color="auto" w:fill="D9D9D9" w:themeFill="background1" w:themeFillShade="D9"/>
          </w:tcPr>
          <w:p w14:paraId="599E78A9" w14:textId="0FD5B29A" w:rsidR="00E413E2" w:rsidRDefault="003328FC" w:rsidP="002F1DCF">
            <w:pPr>
              <w:rPr>
                <w:szCs w:val="16"/>
                <w:highlight w:val="yellow"/>
              </w:rPr>
            </w:pPr>
            <w:r>
              <w:rPr>
                <w:szCs w:val="16"/>
                <w:highlight w:val="yellow"/>
              </w:rPr>
              <w:t>G</w:t>
            </w:r>
            <w:r w:rsidR="002F1DCF" w:rsidRPr="005D4D80">
              <w:rPr>
                <w:szCs w:val="16"/>
                <w:highlight w:val="yellow"/>
              </w:rPr>
              <w:t>uidance on what can be changed</w:t>
            </w:r>
            <w:r w:rsidR="00E413E2">
              <w:rPr>
                <w:szCs w:val="16"/>
                <w:highlight w:val="yellow"/>
              </w:rPr>
              <w:t xml:space="preserve"> can be found in the Toolkit for Managers &amp; HR</w:t>
            </w:r>
          </w:p>
          <w:p w14:paraId="23F38390" w14:textId="40456577" w:rsidR="002F1DCF" w:rsidRPr="005D4D80" w:rsidRDefault="00E413E2" w:rsidP="002F1DCF">
            <w:pPr>
              <w:rPr>
                <w:b/>
                <w:szCs w:val="16"/>
              </w:rPr>
            </w:pPr>
            <w:r>
              <w:rPr>
                <w:szCs w:val="16"/>
                <w:highlight w:val="yellow"/>
              </w:rPr>
              <w:t xml:space="preserve">Changes to core responsibilities must be </w:t>
            </w:r>
            <w:r w:rsidR="002F1DCF" w:rsidRPr="005D4D80">
              <w:rPr>
                <w:szCs w:val="16"/>
                <w:highlight w:val="yellow"/>
              </w:rPr>
              <w:t>checked</w:t>
            </w:r>
            <w:r>
              <w:rPr>
                <w:szCs w:val="16"/>
                <w:highlight w:val="yellow"/>
              </w:rPr>
              <w:t xml:space="preserve"> and verified</w:t>
            </w:r>
            <w:r w:rsidR="002F1DCF" w:rsidRPr="005D4D80">
              <w:rPr>
                <w:szCs w:val="16"/>
                <w:highlight w:val="yellow"/>
              </w:rPr>
              <w:t xml:space="preserve"> at local</w:t>
            </w:r>
            <w:r>
              <w:rPr>
                <w:szCs w:val="16"/>
                <w:highlight w:val="yellow"/>
              </w:rPr>
              <w:t xml:space="preserve"> HR</w:t>
            </w:r>
            <w:r w:rsidR="002F1DCF" w:rsidRPr="005D4D80">
              <w:rPr>
                <w:szCs w:val="16"/>
                <w:highlight w:val="yellow"/>
              </w:rPr>
              <w:t xml:space="preserve"> level to ensure edits are appropriate </w:t>
            </w:r>
            <w:r>
              <w:rPr>
                <w:szCs w:val="16"/>
                <w:highlight w:val="yellow"/>
              </w:rPr>
              <w:t>and remain</w:t>
            </w:r>
            <w:r w:rsidR="002F1DCF" w:rsidRPr="005D4D80">
              <w:rPr>
                <w:szCs w:val="16"/>
                <w:highlight w:val="yellow"/>
              </w:rPr>
              <w:t xml:space="preserve"> within grade </w:t>
            </w:r>
            <w:r>
              <w:rPr>
                <w:szCs w:val="16"/>
                <w:highlight w:val="yellow"/>
              </w:rPr>
              <w:t>descriptor boundaries described above</w:t>
            </w:r>
          </w:p>
        </w:tc>
      </w:tr>
      <w:tr w:rsidR="00901FDC" w:rsidRPr="00B242F6" w14:paraId="12AE803F"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02879AA3" w:rsidR="00901FDC" w:rsidRPr="008F3AEA" w:rsidRDefault="008F3AEA" w:rsidP="00901FDC">
            <w:pPr>
              <w:pStyle w:val="ListParagraph"/>
              <w:numPr>
                <w:ilvl w:val="0"/>
                <w:numId w:val="20"/>
              </w:numPr>
              <w:rPr>
                <w:rFonts w:cstheme="majorHAnsi"/>
                <w:szCs w:val="16"/>
              </w:rPr>
            </w:pPr>
            <w:r w:rsidRPr="008F3AEA">
              <w:rPr>
                <w:rFonts w:cstheme="majorHAnsi"/>
                <w:szCs w:val="16"/>
              </w:rPr>
              <w:t xml:space="preserve">Lead and oversee the delivery of academic administration within the </w:t>
            </w:r>
            <w:proofErr w:type="gramStart"/>
            <w:r w:rsidRPr="008F3AEA">
              <w:rPr>
                <w:rFonts w:cstheme="majorHAnsi"/>
                <w:szCs w:val="16"/>
              </w:rPr>
              <w:t>Faculty</w:t>
            </w:r>
            <w:proofErr w:type="gramEnd"/>
            <w:r w:rsidRPr="008F3AEA">
              <w:rPr>
                <w:rFonts w:cstheme="majorHAnsi"/>
                <w:szCs w:val="16"/>
              </w:rPr>
              <w:t>, proactively identifying issues, developing solutions, and implementing process improvements to enhance operational efficiency, quality assurance, and the student experience.</w:t>
            </w:r>
          </w:p>
        </w:tc>
      </w:tr>
      <w:tr w:rsidR="008F3AEA" w:rsidRPr="00B242F6" w14:paraId="33326F2B"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50644EDE" w14:textId="3769ABAD" w:rsidR="008F3AEA" w:rsidRPr="008F3AEA" w:rsidRDefault="008F3AEA" w:rsidP="00901FDC">
            <w:pPr>
              <w:pStyle w:val="ListParagraph"/>
              <w:numPr>
                <w:ilvl w:val="0"/>
                <w:numId w:val="20"/>
              </w:numPr>
              <w:rPr>
                <w:rFonts w:cstheme="majorHAnsi"/>
                <w:szCs w:val="16"/>
              </w:rPr>
            </w:pPr>
            <w:r w:rsidRPr="008F3AEA">
              <w:rPr>
                <w:rFonts w:cstheme="majorHAnsi"/>
                <w:szCs w:val="16"/>
              </w:rPr>
              <w:t xml:space="preserve">Provide leadership, mentorship, and guidance to a small team of administrative staff. Allocate work, monitor performance, support professional development, and ensure adherence to </w:t>
            </w:r>
            <w:proofErr w:type="gramStart"/>
            <w:r w:rsidRPr="008F3AEA">
              <w:rPr>
                <w:rFonts w:cstheme="majorHAnsi"/>
                <w:szCs w:val="16"/>
              </w:rPr>
              <w:t>University</w:t>
            </w:r>
            <w:proofErr w:type="gramEnd"/>
            <w:r w:rsidRPr="008F3AEA">
              <w:rPr>
                <w:rFonts w:cstheme="majorHAnsi"/>
                <w:szCs w:val="16"/>
              </w:rPr>
              <w:t xml:space="preserve"> policies, procedures, and best practice.</w:t>
            </w:r>
          </w:p>
        </w:tc>
      </w:tr>
      <w:tr w:rsidR="008F3AEA" w:rsidRPr="00B242F6" w14:paraId="7836C879"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3777564E" w14:textId="1FA73CEC" w:rsidR="008F3AEA" w:rsidRPr="008F3AEA" w:rsidRDefault="008F3AEA" w:rsidP="00901FDC">
            <w:pPr>
              <w:pStyle w:val="ListParagraph"/>
              <w:numPr>
                <w:ilvl w:val="0"/>
                <w:numId w:val="20"/>
              </w:numPr>
              <w:rPr>
                <w:rFonts w:cstheme="majorHAnsi"/>
                <w:szCs w:val="16"/>
              </w:rPr>
            </w:pPr>
            <w:r w:rsidRPr="008F3AEA">
              <w:rPr>
                <w:rFonts w:cstheme="majorHAnsi"/>
                <w:szCs w:val="16"/>
              </w:rPr>
              <w:t xml:space="preserve">Take overall responsibility for the administration of graduate and postgraduate recruitment and admissions, developing and implementing effective procedures, coordinating outreach and recruitment activity, maintaining accurate records, and ensuring compliance with </w:t>
            </w:r>
            <w:proofErr w:type="gramStart"/>
            <w:r w:rsidRPr="008F3AEA">
              <w:rPr>
                <w:rFonts w:cstheme="majorHAnsi"/>
                <w:szCs w:val="16"/>
              </w:rPr>
              <w:t>University</w:t>
            </w:r>
            <w:proofErr w:type="gramEnd"/>
            <w:r w:rsidRPr="008F3AEA">
              <w:rPr>
                <w:rFonts w:cstheme="majorHAnsi"/>
                <w:szCs w:val="16"/>
              </w:rPr>
              <w:t xml:space="preserve"> regulations.</w:t>
            </w:r>
          </w:p>
        </w:tc>
      </w:tr>
      <w:tr w:rsidR="008F3AEA" w:rsidRPr="00B242F6" w14:paraId="243AB513"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249932B3" w14:textId="21F19550" w:rsidR="008F3AEA" w:rsidRPr="008F3AEA" w:rsidRDefault="008F3AEA" w:rsidP="00901FDC">
            <w:pPr>
              <w:pStyle w:val="ListParagraph"/>
              <w:numPr>
                <w:ilvl w:val="0"/>
                <w:numId w:val="20"/>
              </w:numPr>
              <w:rPr>
                <w:rFonts w:cstheme="majorHAnsi"/>
                <w:szCs w:val="16"/>
              </w:rPr>
            </w:pPr>
            <w:r w:rsidRPr="008F3AEA">
              <w:rPr>
                <w:rFonts w:cstheme="majorHAnsi"/>
                <w:szCs w:val="16"/>
              </w:rPr>
              <w:t>Lead the administration of examinations and assessments, advising Chairs of Examiners and committees, ensuring compliance with confidentiality, quality standards, and University regulations, and providing procedural guidance to academic colleagues.</w:t>
            </w:r>
          </w:p>
        </w:tc>
      </w:tr>
      <w:tr w:rsidR="008F3AEA" w:rsidRPr="00B242F6" w14:paraId="2D235405"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F593A6D" w14:textId="661FA419" w:rsidR="008F3AEA" w:rsidRPr="008F3AEA" w:rsidRDefault="008F3AEA" w:rsidP="00901FDC">
            <w:pPr>
              <w:pStyle w:val="ListParagraph"/>
              <w:numPr>
                <w:ilvl w:val="0"/>
                <w:numId w:val="20"/>
              </w:numPr>
              <w:rPr>
                <w:rFonts w:cstheme="majorHAnsi"/>
                <w:szCs w:val="16"/>
              </w:rPr>
            </w:pPr>
            <w:r w:rsidRPr="008F3AEA">
              <w:rPr>
                <w:rFonts w:cstheme="majorHAnsi"/>
                <w:szCs w:val="16"/>
              </w:rPr>
              <w:t>Lead the gathering, collation, analysis, and interpretation of academic and administrative data. Prepare detailed reports, provide recommendations to committees and senior stakeholders, and support evidence-based decision-making.</w:t>
            </w:r>
          </w:p>
        </w:tc>
      </w:tr>
      <w:tr w:rsidR="008F3AEA" w:rsidRPr="00B242F6" w14:paraId="5FBDB4C6"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38779C8E" w14:textId="5C95CD3F" w:rsidR="008F3AEA" w:rsidRPr="008F3AEA" w:rsidRDefault="008F3AEA" w:rsidP="00901FDC">
            <w:pPr>
              <w:pStyle w:val="ListParagraph"/>
              <w:numPr>
                <w:ilvl w:val="0"/>
                <w:numId w:val="20"/>
              </w:numPr>
              <w:rPr>
                <w:rFonts w:cstheme="majorHAnsi"/>
                <w:szCs w:val="16"/>
              </w:rPr>
            </w:pPr>
            <w:r w:rsidRPr="008F3AEA">
              <w:rPr>
                <w:rFonts w:cstheme="majorHAnsi"/>
                <w:szCs w:val="16"/>
              </w:rPr>
              <w:t xml:space="preserve">Monitor and manage budgets for academic departments and initiatives, allocating resources effectively to support Faculty priorities, academic </w:t>
            </w:r>
            <w:proofErr w:type="spellStart"/>
            <w:r w:rsidRPr="008F3AEA">
              <w:rPr>
                <w:rFonts w:cstheme="majorHAnsi"/>
                <w:szCs w:val="16"/>
              </w:rPr>
              <w:t>programmes</w:t>
            </w:r>
            <w:proofErr w:type="spellEnd"/>
            <w:r w:rsidRPr="008F3AEA">
              <w:rPr>
                <w:rFonts w:cstheme="majorHAnsi"/>
                <w:szCs w:val="16"/>
              </w:rPr>
              <w:t>, and strategic projects.</w:t>
            </w:r>
          </w:p>
        </w:tc>
      </w:tr>
      <w:tr w:rsidR="008F3AEA" w:rsidRPr="00B242F6" w14:paraId="3788AAE1"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199656B2" w14:textId="105F4F8E" w:rsidR="008F3AEA" w:rsidRPr="008F3AEA" w:rsidRDefault="008F3AEA" w:rsidP="00901FDC">
            <w:pPr>
              <w:pStyle w:val="ListParagraph"/>
              <w:numPr>
                <w:ilvl w:val="0"/>
                <w:numId w:val="20"/>
              </w:numPr>
              <w:rPr>
                <w:rFonts w:cstheme="majorHAnsi"/>
                <w:szCs w:val="16"/>
              </w:rPr>
            </w:pPr>
            <w:r w:rsidRPr="008F3AEA">
              <w:rPr>
                <w:rFonts w:cstheme="majorHAnsi"/>
                <w:szCs w:val="16"/>
              </w:rPr>
              <w:t xml:space="preserve">Build and maintain strong relationships with internal and external stakeholders, including academic staff, central University teams, and external partners. Advise on academic policy, procedures, and best practice, ensuring the </w:t>
            </w:r>
            <w:proofErr w:type="gramStart"/>
            <w:r w:rsidRPr="008F3AEA">
              <w:rPr>
                <w:rFonts w:cstheme="majorHAnsi"/>
                <w:szCs w:val="16"/>
              </w:rPr>
              <w:t>Faculty</w:t>
            </w:r>
            <w:proofErr w:type="gramEnd"/>
            <w:r w:rsidRPr="008F3AEA">
              <w:rPr>
                <w:rFonts w:cstheme="majorHAnsi"/>
                <w:szCs w:val="16"/>
              </w:rPr>
              <w:t xml:space="preserve"> remains compliant and informed.</w:t>
            </w:r>
          </w:p>
        </w:tc>
      </w:tr>
      <w:tr w:rsidR="008F3AEA" w:rsidRPr="00B242F6" w14:paraId="1941A6E4"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33C14A06" w14:textId="4A70A9AF" w:rsidR="008F3AEA" w:rsidRPr="008F3AEA" w:rsidRDefault="008F3AEA" w:rsidP="00901FDC">
            <w:pPr>
              <w:pStyle w:val="ListParagraph"/>
              <w:numPr>
                <w:ilvl w:val="0"/>
                <w:numId w:val="20"/>
              </w:numPr>
              <w:rPr>
                <w:rFonts w:cstheme="majorHAnsi"/>
                <w:szCs w:val="16"/>
              </w:rPr>
            </w:pPr>
            <w:r>
              <w:t>Maintain and develop expertise in academic policies, teaching standards, and regulatory frameworks. Lead initiatives to improve administrative processes, enhance compliance, and strengthen the student experience.</w:t>
            </w:r>
          </w:p>
        </w:tc>
      </w:tr>
      <w:tr w:rsidR="00901FDC" w:rsidRPr="00B242F6" w14:paraId="3B5F8479"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65E74BBF" w:rsidR="00901FDC" w:rsidRPr="008F3AEA" w:rsidRDefault="008F3AEA" w:rsidP="00901FDC">
            <w:pPr>
              <w:pStyle w:val="ListParagraph"/>
              <w:numPr>
                <w:ilvl w:val="0"/>
                <w:numId w:val="20"/>
              </w:numPr>
              <w:rPr>
                <w:rFonts w:cstheme="majorHAnsi"/>
                <w:szCs w:val="16"/>
              </w:rPr>
            </w:pPr>
            <w:r>
              <w:t>Prepare, service, and report to relevant committees regarding academic administration, ensuring decisions are communicated, actioned, and followed up. Participate in forums, working groups, and cross-departmental initiatives to share best practice.</w:t>
            </w:r>
          </w:p>
        </w:tc>
      </w:tr>
      <w:tr w:rsidR="008F3AEA" w:rsidRPr="00B242F6" w14:paraId="4EA39DD1"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2A0E803B" w:rsidR="008F3AEA" w:rsidRPr="008F3AEA" w:rsidRDefault="008F3AEA" w:rsidP="008F3AEA">
            <w:pPr>
              <w:pStyle w:val="ListParagraph"/>
              <w:numPr>
                <w:ilvl w:val="0"/>
                <w:numId w:val="20"/>
              </w:numPr>
              <w:rPr>
                <w:rFonts w:cstheme="majorHAnsi"/>
                <w:szCs w:val="16"/>
              </w:rPr>
            </w:pPr>
            <w:r w:rsidRPr="008F3AEA">
              <w:rPr>
                <w:rFonts w:cstheme="majorHAnsi"/>
                <w:szCs w:val="16"/>
              </w:rPr>
              <w:t>Liaise with relevant departments within and outside the university, keeping abreast of developments in academic administration, and regulation changes at university national and international levels, proposing and implementing changes as appropriate and advising academic colleagues.</w:t>
            </w:r>
          </w:p>
        </w:tc>
      </w:tr>
      <w:tr w:rsidR="008F3AEA" w:rsidRPr="00B242F6" w14:paraId="7C32B764"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095A128E" w:rsidR="008F3AEA" w:rsidRPr="008F3AEA" w:rsidRDefault="008F3AEA" w:rsidP="008F3AEA">
            <w:pPr>
              <w:pStyle w:val="ListParagraph"/>
              <w:numPr>
                <w:ilvl w:val="0"/>
                <w:numId w:val="20"/>
              </w:numPr>
              <w:rPr>
                <w:rFonts w:cstheme="majorHAnsi"/>
                <w:szCs w:val="16"/>
              </w:rPr>
            </w:pPr>
            <w:r w:rsidRPr="008F3AEA">
              <w:rPr>
                <w:rFonts w:cstheme="majorHAnsi"/>
                <w:szCs w:val="16"/>
              </w:rPr>
              <w:t xml:space="preserve">Develop and maintain knowledge of academic affairs, teaching policies and quality assurance arrangements, to proactively support the academic community. Attend relevant seminars and training to ensure the </w:t>
            </w:r>
            <w:proofErr w:type="gramStart"/>
            <w:r w:rsidRPr="008F3AEA">
              <w:rPr>
                <w:rFonts w:cstheme="majorHAnsi"/>
                <w:szCs w:val="16"/>
              </w:rPr>
              <w:t>Faculty</w:t>
            </w:r>
            <w:proofErr w:type="gramEnd"/>
            <w:r w:rsidRPr="008F3AEA">
              <w:rPr>
                <w:rFonts w:cstheme="majorHAnsi"/>
                <w:szCs w:val="16"/>
              </w:rPr>
              <w:t xml:space="preserve"> is up-to-date with current university policy and ensure staff are informed and trained as necessary.</w:t>
            </w:r>
          </w:p>
        </w:tc>
      </w:tr>
      <w:tr w:rsidR="008F3AEA" w:rsidRPr="00B242F6" w14:paraId="5482F979" w14:textId="77777777" w:rsidTr="00335C74">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8F3AEA" w:rsidRPr="008F3AEA" w:rsidRDefault="008F3AEA" w:rsidP="008F3AEA">
            <w:pPr>
              <w:rPr>
                <w:szCs w:val="16"/>
              </w:rPr>
            </w:pPr>
            <w:r w:rsidRPr="008F3AEA">
              <w:rPr>
                <w:rStyle w:val="Heading2Char"/>
              </w:rPr>
              <w:t>Selection Criteria</w:t>
            </w:r>
            <w:r w:rsidRPr="008F3AEA">
              <w:rPr>
                <w:lang w:val="en-GB"/>
              </w:rPr>
              <w:br/>
            </w:r>
            <w:r w:rsidRPr="008F3AEA">
              <w:rPr>
                <w:szCs w:val="16"/>
              </w:rPr>
              <w:t xml:space="preserve">ESSENTIAL [defined by SJD] </w:t>
            </w:r>
          </w:p>
        </w:tc>
      </w:tr>
      <w:tr w:rsidR="008F3AEA" w:rsidRPr="00B242F6" w14:paraId="6BB31A42" w14:textId="77777777" w:rsidTr="00102571">
        <w:tblPrEx>
          <w:tblBorders>
            <w:insideH w:val="single" w:sz="4" w:space="0" w:color="auto"/>
            <w:insideV w:val="single" w:sz="4" w:space="0" w:color="auto"/>
          </w:tblBorders>
          <w:shd w:val="clear" w:color="auto" w:fill="auto"/>
        </w:tblPrEx>
        <w:trPr>
          <w:trHeight w:val="1317"/>
        </w:trPr>
        <w:tc>
          <w:tcPr>
            <w:tcW w:w="9040" w:type="dxa"/>
            <w:shd w:val="clear" w:color="auto" w:fill="auto"/>
            <w:tcMar>
              <w:bottom w:w="115" w:type="dxa"/>
            </w:tcMar>
          </w:tcPr>
          <w:p w14:paraId="01B5F140" w14:textId="77777777" w:rsidR="008F3AEA" w:rsidRPr="008F3AEA" w:rsidRDefault="008F3AEA" w:rsidP="008F3AEA">
            <w:pPr>
              <w:pStyle w:val="ListParagraph"/>
              <w:numPr>
                <w:ilvl w:val="0"/>
                <w:numId w:val="22"/>
              </w:numPr>
              <w:rPr>
                <w:rFonts w:eastAsia="Times New Roman" w:cstheme="majorHAnsi"/>
                <w:szCs w:val="16"/>
                <w:lang w:eastAsia="en-GB"/>
              </w:rPr>
            </w:pPr>
            <w:r w:rsidRPr="008F3AEA">
              <w:rPr>
                <w:rFonts w:eastAsia="Times New Roman" w:cstheme="majorHAnsi"/>
                <w:szCs w:val="16"/>
                <w:lang w:eastAsia="en-GB"/>
              </w:rPr>
              <w:t>Educated to degree level or equivalent experience.</w:t>
            </w:r>
          </w:p>
          <w:p w14:paraId="38B4A6E3" w14:textId="77777777" w:rsidR="008F3AEA" w:rsidRPr="008F3AEA" w:rsidRDefault="008F3AEA" w:rsidP="008F3AEA">
            <w:pPr>
              <w:pStyle w:val="ListParagraph"/>
              <w:numPr>
                <w:ilvl w:val="0"/>
                <w:numId w:val="22"/>
              </w:numPr>
              <w:rPr>
                <w:rFonts w:eastAsia="Times New Roman" w:cstheme="majorHAnsi"/>
                <w:szCs w:val="16"/>
                <w:lang w:eastAsia="en-GB"/>
              </w:rPr>
            </w:pPr>
            <w:r w:rsidRPr="008F3AEA">
              <w:rPr>
                <w:rFonts w:eastAsia="Times New Roman" w:cstheme="majorHAnsi"/>
                <w:szCs w:val="16"/>
                <w:lang w:eastAsia="en-GB"/>
              </w:rPr>
              <w:t>Significant experience in academic administration within higher education, including oversight of processes, procedures, or projects.</w:t>
            </w:r>
          </w:p>
          <w:p w14:paraId="2CD6B0C3" w14:textId="77777777" w:rsidR="008F3AEA" w:rsidRPr="008F3AEA" w:rsidRDefault="008F3AEA" w:rsidP="008F3AEA">
            <w:pPr>
              <w:pStyle w:val="ListParagraph"/>
              <w:numPr>
                <w:ilvl w:val="0"/>
                <w:numId w:val="22"/>
              </w:numPr>
              <w:rPr>
                <w:rFonts w:eastAsia="Times New Roman" w:cstheme="majorHAnsi"/>
                <w:szCs w:val="16"/>
                <w:lang w:eastAsia="en-GB"/>
              </w:rPr>
            </w:pPr>
            <w:r w:rsidRPr="008F3AEA">
              <w:rPr>
                <w:rFonts w:eastAsia="Times New Roman" w:cstheme="majorHAnsi"/>
                <w:szCs w:val="16"/>
                <w:lang w:eastAsia="en-GB"/>
              </w:rPr>
              <w:t>Proven ability to lead and manage a small team, including mentoring, performance oversight, and workload allocation.</w:t>
            </w:r>
          </w:p>
          <w:p w14:paraId="3A1A9BB9" w14:textId="77777777" w:rsidR="008F3AEA" w:rsidRPr="008F3AEA" w:rsidRDefault="008F3AEA" w:rsidP="008F3AEA">
            <w:pPr>
              <w:pStyle w:val="ListParagraph"/>
              <w:numPr>
                <w:ilvl w:val="0"/>
                <w:numId w:val="22"/>
              </w:numPr>
              <w:rPr>
                <w:rFonts w:eastAsia="Times New Roman" w:cstheme="majorHAnsi"/>
                <w:szCs w:val="16"/>
                <w:lang w:eastAsia="en-GB"/>
              </w:rPr>
            </w:pPr>
            <w:r w:rsidRPr="008F3AEA">
              <w:rPr>
                <w:rFonts w:eastAsia="Times New Roman" w:cstheme="majorHAnsi"/>
                <w:szCs w:val="16"/>
                <w:lang w:eastAsia="en-GB"/>
              </w:rPr>
              <w:t>Demonstrated ability to identify problems, propose practical solutions, and implement improvements to enhance operational efficiency and service quality.</w:t>
            </w:r>
          </w:p>
          <w:p w14:paraId="669D5BC8" w14:textId="77777777" w:rsidR="008F3AEA" w:rsidRPr="008F3AEA" w:rsidRDefault="008F3AEA" w:rsidP="008F3AEA">
            <w:pPr>
              <w:pStyle w:val="ListParagraph"/>
              <w:numPr>
                <w:ilvl w:val="0"/>
                <w:numId w:val="22"/>
              </w:numPr>
              <w:rPr>
                <w:rFonts w:eastAsia="Times New Roman" w:cstheme="majorHAnsi"/>
                <w:szCs w:val="16"/>
                <w:lang w:eastAsia="en-GB"/>
              </w:rPr>
            </w:pPr>
            <w:r w:rsidRPr="008F3AEA">
              <w:rPr>
                <w:rFonts w:eastAsia="Times New Roman" w:cstheme="majorHAnsi"/>
                <w:szCs w:val="16"/>
                <w:lang w:eastAsia="en-GB"/>
              </w:rPr>
              <w:t>Excellent communication skills, with the ability to communicate effectively with a diverse range of stakeholders, including academic staff, students, and external partners.</w:t>
            </w:r>
          </w:p>
          <w:p w14:paraId="782DEFF4" w14:textId="77777777" w:rsidR="008F3AEA" w:rsidRPr="008F3AEA" w:rsidRDefault="008F3AEA" w:rsidP="008F3AEA">
            <w:pPr>
              <w:pStyle w:val="ListParagraph"/>
              <w:numPr>
                <w:ilvl w:val="0"/>
                <w:numId w:val="22"/>
              </w:numPr>
              <w:rPr>
                <w:rFonts w:eastAsia="Times New Roman" w:cstheme="majorHAnsi"/>
                <w:szCs w:val="16"/>
                <w:lang w:eastAsia="en-GB"/>
              </w:rPr>
            </w:pPr>
            <w:r w:rsidRPr="008F3AEA">
              <w:rPr>
                <w:rFonts w:eastAsia="Times New Roman" w:cstheme="majorHAnsi"/>
                <w:szCs w:val="16"/>
                <w:lang w:eastAsia="en-GB"/>
              </w:rPr>
              <w:t xml:space="preserve">Strong organisational and project management skills, with the ability to </w:t>
            </w:r>
            <w:proofErr w:type="spellStart"/>
            <w:r w:rsidRPr="008F3AEA">
              <w:rPr>
                <w:rFonts w:eastAsia="Times New Roman" w:cstheme="majorHAnsi"/>
                <w:szCs w:val="16"/>
                <w:lang w:eastAsia="en-GB"/>
              </w:rPr>
              <w:t>prioritise</w:t>
            </w:r>
            <w:proofErr w:type="spellEnd"/>
            <w:r w:rsidRPr="008F3AEA">
              <w:rPr>
                <w:rFonts w:eastAsia="Times New Roman" w:cstheme="majorHAnsi"/>
                <w:szCs w:val="16"/>
                <w:lang w:eastAsia="en-GB"/>
              </w:rPr>
              <w:t xml:space="preserve"> competing demands and manage complex workloads independently.</w:t>
            </w:r>
          </w:p>
          <w:p w14:paraId="6A0475FA" w14:textId="77777777" w:rsidR="008F3AEA" w:rsidRPr="008F3AEA" w:rsidRDefault="008F3AEA" w:rsidP="008F3AEA">
            <w:pPr>
              <w:pStyle w:val="ListParagraph"/>
              <w:numPr>
                <w:ilvl w:val="0"/>
                <w:numId w:val="22"/>
              </w:numPr>
              <w:rPr>
                <w:rFonts w:eastAsia="Times New Roman" w:cstheme="majorHAnsi"/>
                <w:szCs w:val="16"/>
                <w:lang w:eastAsia="en-GB"/>
              </w:rPr>
            </w:pPr>
            <w:r w:rsidRPr="008F3AEA">
              <w:rPr>
                <w:rFonts w:eastAsia="Times New Roman" w:cstheme="majorHAnsi"/>
                <w:szCs w:val="16"/>
                <w:lang w:eastAsia="en-GB"/>
              </w:rPr>
              <w:t>Competency in IT systems relevant to academic administration, including Microsoft Office.</w:t>
            </w:r>
          </w:p>
          <w:p w14:paraId="47EEA967" w14:textId="77777777" w:rsidR="008F3AEA" w:rsidRPr="008F3AEA" w:rsidRDefault="008F3AEA" w:rsidP="008F3AEA">
            <w:pPr>
              <w:pStyle w:val="ListParagraph"/>
              <w:numPr>
                <w:ilvl w:val="0"/>
                <w:numId w:val="22"/>
              </w:numPr>
              <w:rPr>
                <w:rFonts w:eastAsia="Times New Roman" w:cstheme="majorHAnsi"/>
                <w:szCs w:val="16"/>
                <w:lang w:eastAsia="en-GB"/>
              </w:rPr>
            </w:pPr>
            <w:r w:rsidRPr="008F3AEA">
              <w:rPr>
                <w:rFonts w:eastAsia="Times New Roman" w:cstheme="majorHAnsi"/>
                <w:szCs w:val="16"/>
                <w:lang w:eastAsia="en-GB"/>
              </w:rPr>
              <w:t>Ability to interpret, apply, and advise on complex University regulations, policies, and procedures.</w:t>
            </w:r>
          </w:p>
          <w:p w14:paraId="6A27597C" w14:textId="77777777" w:rsidR="008F3AEA" w:rsidRPr="008F3AEA" w:rsidRDefault="008F3AEA" w:rsidP="008F3AEA">
            <w:pPr>
              <w:pStyle w:val="ListParagraph"/>
              <w:numPr>
                <w:ilvl w:val="0"/>
                <w:numId w:val="22"/>
              </w:numPr>
              <w:rPr>
                <w:rFonts w:eastAsia="Times New Roman" w:cstheme="majorHAnsi"/>
                <w:szCs w:val="16"/>
                <w:lang w:eastAsia="en-GB"/>
              </w:rPr>
            </w:pPr>
            <w:r w:rsidRPr="008F3AEA">
              <w:rPr>
                <w:rFonts w:eastAsia="Times New Roman" w:cstheme="majorHAnsi"/>
                <w:szCs w:val="16"/>
                <w:lang w:eastAsia="en-GB"/>
              </w:rPr>
              <w:t>Strong analytical and reporting skills, with the ability to produce clear, accurate, and actionable information for senior stakeholders.</w:t>
            </w:r>
          </w:p>
          <w:p w14:paraId="4C9E3063" w14:textId="6F4DAD31" w:rsidR="008F3AEA" w:rsidRPr="008F3AEA" w:rsidRDefault="008F3AEA" w:rsidP="008F3AEA">
            <w:pPr>
              <w:pStyle w:val="ListParagraph"/>
              <w:numPr>
                <w:ilvl w:val="0"/>
                <w:numId w:val="22"/>
              </w:numPr>
              <w:rPr>
                <w:rFonts w:eastAsia="Times New Roman" w:cstheme="majorHAnsi"/>
                <w:color w:val="0D0D0D"/>
                <w:szCs w:val="16"/>
                <w:lang w:eastAsia="en-GB"/>
              </w:rPr>
            </w:pPr>
            <w:r w:rsidRPr="008F3AEA">
              <w:rPr>
                <w:rFonts w:eastAsia="Times New Roman" w:cstheme="majorHAnsi"/>
                <w:szCs w:val="16"/>
                <w:lang w:eastAsia="en-GB"/>
              </w:rPr>
              <w:t>Accuracy, attention to detail, and commitment to compliance and quality assurance.</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B242F6"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335C74" w:rsidRDefault="00335C74" w:rsidP="00335C74">
            <w:pPr>
              <w:pStyle w:val="Heading2"/>
            </w:pPr>
            <w:r>
              <w:rPr>
                <w:lang w:val="en-GB"/>
              </w:rPr>
              <w:t>Desirable</w:t>
            </w:r>
          </w:p>
        </w:tc>
      </w:tr>
      <w:tr w:rsidR="00335C74" w:rsidRPr="00B242F6" w14:paraId="1AB360BA" w14:textId="77777777" w:rsidTr="00102571">
        <w:trPr>
          <w:trHeight w:val="789"/>
        </w:trPr>
        <w:tc>
          <w:tcPr>
            <w:tcW w:w="9040" w:type="dxa"/>
            <w:shd w:val="clear" w:color="auto" w:fill="auto"/>
          </w:tcPr>
          <w:p w14:paraId="07656D9E" w14:textId="77777777" w:rsidR="00335C74" w:rsidRDefault="00335C74" w:rsidP="00973885">
            <w:pPr>
              <w:spacing w:after="0"/>
              <w:rPr>
                <w:lang w:val="en-GB"/>
              </w:rPr>
            </w:pPr>
          </w:p>
          <w:p w14:paraId="41E21E5B" w14:textId="1C2218E6" w:rsidR="00335C74" w:rsidRPr="00B242F6" w:rsidRDefault="00335C74" w:rsidP="00973885">
            <w:pPr>
              <w:spacing w:after="0"/>
              <w:rPr>
                <w:lang w:val="en-GB"/>
              </w:rPr>
            </w:pPr>
          </w:p>
        </w:tc>
      </w:tr>
    </w:tbl>
    <w:p w14:paraId="3FDC8BF8" w14:textId="77777777" w:rsidR="008A6F05" w:rsidRDefault="008A6F05" w:rsidP="00973885">
      <w:pPr>
        <w:spacing w:after="0"/>
        <w:rPr>
          <w:lang w:val="en-GB"/>
        </w:rPr>
      </w:pPr>
    </w:p>
    <w:tbl>
      <w:tblPr>
        <w:tblStyle w:val="TableGrid"/>
        <w:tblW w:w="0" w:type="auto"/>
        <w:tblLook w:val="04A0" w:firstRow="1" w:lastRow="0" w:firstColumn="1" w:lastColumn="0" w:noHBand="0" w:noVBand="1"/>
      </w:tblPr>
      <w:tblGrid>
        <w:gridCol w:w="2405"/>
        <w:gridCol w:w="6611"/>
      </w:tblGrid>
      <w:tr w:rsidR="00340DF9" w14:paraId="62E6D19D" w14:textId="77777777" w:rsidTr="003328FC">
        <w:tc>
          <w:tcPr>
            <w:tcW w:w="2405" w:type="dxa"/>
            <w:shd w:val="clear" w:color="auto" w:fill="D9D9D9" w:themeFill="background1" w:themeFillShade="D9"/>
          </w:tcPr>
          <w:p w14:paraId="6E5D74EE" w14:textId="566E5A28" w:rsidR="00340DF9" w:rsidRPr="00340DF9" w:rsidRDefault="00340DF9" w:rsidP="00340DF9">
            <w:pPr>
              <w:pStyle w:val="Heading2"/>
            </w:pPr>
            <w:r w:rsidRPr="00340DF9">
              <w:t>Date</w:t>
            </w:r>
          </w:p>
        </w:tc>
        <w:tc>
          <w:tcPr>
            <w:tcW w:w="6611" w:type="dxa"/>
          </w:tcPr>
          <w:p w14:paraId="125BB2CB" w14:textId="77777777" w:rsidR="00340DF9" w:rsidRDefault="00340DF9" w:rsidP="00973885">
            <w:pPr>
              <w:spacing w:after="0"/>
              <w:rPr>
                <w:lang w:val="en-GB"/>
              </w:rPr>
            </w:pPr>
          </w:p>
        </w:tc>
      </w:tr>
      <w:tr w:rsidR="00340DF9" w14:paraId="0941C86D" w14:textId="77777777" w:rsidTr="003328FC">
        <w:trPr>
          <w:trHeight w:val="522"/>
        </w:trPr>
        <w:tc>
          <w:tcPr>
            <w:tcW w:w="2405" w:type="dxa"/>
            <w:shd w:val="clear" w:color="auto" w:fill="D9D9D9" w:themeFill="background1" w:themeFillShade="D9"/>
          </w:tcPr>
          <w:p w14:paraId="4C0452E5" w14:textId="14316669" w:rsidR="00340DF9" w:rsidRPr="00340DF9" w:rsidRDefault="00E413E2" w:rsidP="00340DF9">
            <w:pPr>
              <w:pStyle w:val="Heading2"/>
            </w:pPr>
            <w:r>
              <w:t xml:space="preserve">Edits to core responsibilities checked &amp; </w:t>
            </w:r>
            <w:r w:rsidR="00340DF9" w:rsidRPr="00340DF9">
              <w:t>verified</w:t>
            </w:r>
            <w:r w:rsidR="005141FD">
              <w:t xml:space="preserve"> against grade descriptor</w:t>
            </w:r>
            <w:r w:rsidR="00340DF9" w:rsidRPr="00340DF9">
              <w:t xml:space="preserve"> by {</w:t>
            </w:r>
            <w:r w:rsidR="00E35F96">
              <w:t xml:space="preserve">Departmental </w:t>
            </w:r>
            <w:r w:rsidR="00340DF9" w:rsidRPr="00340DF9">
              <w:t>HR contact}:</w:t>
            </w:r>
          </w:p>
        </w:tc>
        <w:tc>
          <w:tcPr>
            <w:tcW w:w="6611" w:type="dxa"/>
          </w:tcPr>
          <w:p w14:paraId="5CECF361" w14:textId="77777777" w:rsidR="00340DF9" w:rsidRDefault="00340DF9" w:rsidP="00973885">
            <w:pPr>
              <w:spacing w:after="0"/>
              <w:rPr>
                <w:lang w:val="en-GB"/>
              </w:rPr>
            </w:pPr>
          </w:p>
        </w:tc>
      </w:tr>
    </w:tbl>
    <w:p w14:paraId="71237E53" w14:textId="77777777" w:rsidR="00340DF9" w:rsidRDefault="00340DF9" w:rsidP="00973885">
      <w:pPr>
        <w:spacing w:after="0"/>
        <w:rPr>
          <w:lang w:val="en-GB"/>
        </w:rPr>
      </w:pPr>
    </w:p>
    <w:p w14:paraId="4E589B14" w14:textId="77777777" w:rsidR="00340DF9" w:rsidRDefault="00340DF9" w:rsidP="00973885">
      <w:pPr>
        <w:spacing w:after="0"/>
        <w:rPr>
          <w:lang w:val="en-GB"/>
        </w:rPr>
      </w:pPr>
    </w:p>
    <w:p w14:paraId="2EE854B6" w14:textId="77777777" w:rsidR="00340DF9" w:rsidRPr="00B242F6" w:rsidRDefault="00340DF9" w:rsidP="00973885">
      <w:pPr>
        <w:spacing w:after="0"/>
        <w:rPr>
          <w:lang w:val="en-GB"/>
        </w:rPr>
      </w:pPr>
    </w:p>
    <w:sectPr w:rsidR="00340DF9" w:rsidRPr="00B242F6" w:rsidSect="000215B4">
      <w:headerReference w:type="default" r:id="rId8"/>
      <w:footerReference w:type="default" r:id="rId9"/>
      <w:headerReference w:type="first" r:id="rId10"/>
      <w:footerReference w:type="first" r:id="rId11"/>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7"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PYAJb6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0707A10">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1A165CF" id="Rectangle 10" o:spid="_x0000_s1026"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" fillcolor="#e8e8e8" stroked="f" strokeweight="2pt">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CED3" w14:textId="43F206F6" w:rsidR="000C2633" w:rsidRDefault="000215B4">
    <w:pPr>
      <w:pStyle w:val="Header"/>
    </w:pPr>
    <w:r>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D6311CD" id="Rectangle 10" o:spid="_x0000_s1026"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" fillcolor="#e8e8e8" stroked="f" strokeweight="2pt">
              <w10:wrap anchory="margin"/>
              <w10:anchorlock/>
            </v:rect>
          </w:pict>
        </mc:Fallback>
      </mc:AlternateContent>
    </w:r>
    <w:r>
      <w:rPr>
        <w:noProof/>
      </w:rPr>
      <w:drawing>
        <wp:anchor distT="0" distB="0" distL="114300" distR="114300" simplePos="0" relativeHeight="251661312"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B212D5">
      <w:rPr>
        <w:noProof/>
        <w:lang w:val="en-GB" w:bidi="en-GB"/>
      </w:rPr>
      <w:drawing>
        <wp:inline distT="0" distB="0" distL="0" distR="0" wp14:anchorId="04188631" wp14:editId="6569A726">
          <wp:extent cx="47688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68850" cy="762000"/>
                  </a:xfrm>
                  <a:prstGeom prst="rect">
                    <a:avLst/>
                  </a:prstGeom>
                  <a:noFill/>
                </pic:spPr>
              </pic:pic>
            </a:graphicData>
          </a:graphic>
        </wp:inline>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DB1FBF"/>
    <w:multiLevelType w:val="hybridMultilevel"/>
    <w:tmpl w:val="BD72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B00C28"/>
    <w:multiLevelType w:val="hybridMultilevel"/>
    <w:tmpl w:val="062E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764DB"/>
    <w:multiLevelType w:val="hybridMultilevel"/>
    <w:tmpl w:val="F1A016EA"/>
    <w:lvl w:ilvl="0" w:tplc="C1AEE8FE">
      <w:start w:val="1"/>
      <w:numFmt w:val="bullet"/>
      <w:lvlText w:val=""/>
      <w:lvlPicBulletId w:val="0"/>
      <w:lvlJc w:val="left"/>
      <w:pPr>
        <w:ind w:left="720" w:hanging="360"/>
      </w:pPr>
      <w:rPr>
        <w:rFonts w:ascii="Symbol" w:hAnsi="Symbol" w:hint="default"/>
        <w:color w:val="auto"/>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C5735"/>
    <w:multiLevelType w:val="hybridMultilevel"/>
    <w:tmpl w:val="B24A2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5C5E48"/>
    <w:multiLevelType w:val="hybridMultilevel"/>
    <w:tmpl w:val="6D80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9"/>
  </w:num>
  <w:num w:numId="14">
    <w:abstractNumId w:val="20"/>
  </w:num>
  <w:num w:numId="15">
    <w:abstractNumId w:val="21"/>
  </w:num>
  <w:num w:numId="16">
    <w:abstractNumId w:val="22"/>
  </w:num>
  <w:num w:numId="17">
    <w:abstractNumId w:val="23"/>
  </w:num>
  <w:num w:numId="18">
    <w:abstractNumId w:val="16"/>
  </w:num>
  <w:num w:numId="19">
    <w:abstractNumId w:val="13"/>
  </w:num>
  <w:num w:numId="20">
    <w:abstractNumId w:val="11"/>
  </w:num>
  <w:num w:numId="21">
    <w:abstractNumId w:val="15"/>
  </w:num>
  <w:num w:numId="22">
    <w:abstractNumId w:val="12"/>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C2633"/>
    <w:rsid w:val="00102571"/>
    <w:rsid w:val="001A40E4"/>
    <w:rsid w:val="001B2073"/>
    <w:rsid w:val="001C09BA"/>
    <w:rsid w:val="001C424A"/>
    <w:rsid w:val="001E59CF"/>
    <w:rsid w:val="00207774"/>
    <w:rsid w:val="00291ECF"/>
    <w:rsid w:val="002B2C12"/>
    <w:rsid w:val="002B588E"/>
    <w:rsid w:val="002F1DBC"/>
    <w:rsid w:val="002F1DCF"/>
    <w:rsid w:val="00307343"/>
    <w:rsid w:val="003241AA"/>
    <w:rsid w:val="003328FC"/>
    <w:rsid w:val="00335C74"/>
    <w:rsid w:val="00340DF9"/>
    <w:rsid w:val="00342CDD"/>
    <w:rsid w:val="00343B85"/>
    <w:rsid w:val="00363A6A"/>
    <w:rsid w:val="00430034"/>
    <w:rsid w:val="004A1643"/>
    <w:rsid w:val="004E1A15"/>
    <w:rsid w:val="005141FD"/>
    <w:rsid w:val="00521A90"/>
    <w:rsid w:val="005443BE"/>
    <w:rsid w:val="0056302B"/>
    <w:rsid w:val="005E3543"/>
    <w:rsid w:val="00605BE4"/>
    <w:rsid w:val="006228EE"/>
    <w:rsid w:val="006267BB"/>
    <w:rsid w:val="006333D9"/>
    <w:rsid w:val="00635407"/>
    <w:rsid w:val="0066002F"/>
    <w:rsid w:val="00673917"/>
    <w:rsid w:val="006A0C25"/>
    <w:rsid w:val="00707A10"/>
    <w:rsid w:val="00711167"/>
    <w:rsid w:val="00761239"/>
    <w:rsid w:val="00795023"/>
    <w:rsid w:val="007D476B"/>
    <w:rsid w:val="00802707"/>
    <w:rsid w:val="008156CB"/>
    <w:rsid w:val="008527F0"/>
    <w:rsid w:val="0085362B"/>
    <w:rsid w:val="0089431F"/>
    <w:rsid w:val="008A6F05"/>
    <w:rsid w:val="008D6FB2"/>
    <w:rsid w:val="008F3AEA"/>
    <w:rsid w:val="00901FDC"/>
    <w:rsid w:val="00940546"/>
    <w:rsid w:val="009541C6"/>
    <w:rsid w:val="00973885"/>
    <w:rsid w:val="00991989"/>
    <w:rsid w:val="009C7DE8"/>
    <w:rsid w:val="009D362F"/>
    <w:rsid w:val="00A63436"/>
    <w:rsid w:val="00A670F2"/>
    <w:rsid w:val="00A914C2"/>
    <w:rsid w:val="00B212D5"/>
    <w:rsid w:val="00B242F6"/>
    <w:rsid w:val="00B42047"/>
    <w:rsid w:val="00B47B3D"/>
    <w:rsid w:val="00B8392C"/>
    <w:rsid w:val="00B869B2"/>
    <w:rsid w:val="00BC7D19"/>
    <w:rsid w:val="00C07439"/>
    <w:rsid w:val="00C07B27"/>
    <w:rsid w:val="00C26D0F"/>
    <w:rsid w:val="00C5493D"/>
    <w:rsid w:val="00C73A74"/>
    <w:rsid w:val="00C97885"/>
    <w:rsid w:val="00CA1C12"/>
    <w:rsid w:val="00CA7DE2"/>
    <w:rsid w:val="00D7348B"/>
    <w:rsid w:val="00DA2EA0"/>
    <w:rsid w:val="00E00E9F"/>
    <w:rsid w:val="00E35F96"/>
    <w:rsid w:val="00E413E2"/>
    <w:rsid w:val="00E553AA"/>
    <w:rsid w:val="00EA0EB4"/>
    <w:rsid w:val="00EB0DD1"/>
    <w:rsid w:val="00F13C16"/>
    <w:rsid w:val="00F23889"/>
    <w:rsid w:val="00F37398"/>
    <w:rsid w:val="00F42096"/>
    <w:rsid w:val="00F5388D"/>
    <w:rsid w:val="00F56D44"/>
    <w:rsid w:val="00F73A09"/>
    <w:rsid w:val="00F81751"/>
    <w:rsid w:val="00FB0614"/>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B212D5"/>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B212D5"/>
    <w:rPr>
      <w:rFonts w:ascii="Roboto" w:eastAsiaTheme="minorHAnsi" w:hAnsi="Robo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9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740</Words>
  <Characters>5233</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Aga Bogucka</cp:lastModifiedBy>
  <cp:revision>7</cp:revision>
  <dcterms:created xsi:type="dcterms:W3CDTF">2025-10-27T08:26:00Z</dcterms:created>
  <dcterms:modified xsi:type="dcterms:W3CDTF">2025-11-06T16:49:00Z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