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18"/>
        <w:gridCol w:w="5662"/>
      </w:tblGrid>
      <w:tr w:rsidR="00564628" w:rsidRPr="00B15B64" w:rsidTr="00564628">
        <w:trPr>
          <w:trHeight w:val="450"/>
        </w:trPr>
        <w:tc>
          <w:tcPr>
            <w:tcW w:w="5000" w:type="pct"/>
            <w:gridSpan w:val="3"/>
            <w:vMerge w:val="restar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B15B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Grades covered by the EJRA as of 18 October 2022</w:t>
            </w:r>
          </w:p>
          <w:p w:rsidR="00564628" w:rsidRPr="00B15B64" w:rsidRDefault="00564628" w:rsidP="00B1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</w:tr>
      <w:tr w:rsidR="00564628" w:rsidRPr="00B15B64" w:rsidTr="00564628">
        <w:trPr>
          <w:trHeight w:val="450"/>
        </w:trPr>
        <w:tc>
          <w:tcPr>
            <w:tcW w:w="5000" w:type="pct"/>
            <w:gridSpan w:val="3"/>
            <w:vMerge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Category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Grade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Description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Statutory Professors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A20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statutory professors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A70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Clinical statutory professors, old consultant contract</w:t>
            </w:r>
          </w:p>
        </w:tc>
      </w:tr>
      <w:tr w:rsidR="00564628" w:rsidRPr="00B15B64" w:rsidTr="00564628">
        <w:trPr>
          <w:trHeight w:val="7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A80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Clinical statutory professors, new consultant contract 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Readers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A10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Readers, closed grade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Associate Professors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30S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 tutorial fellowship, University major employer (APTF-U)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32S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without tutorial fellowship (APNTF old scheme), closed grade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34S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without tutorial fellowship (APNTF not admitted to new scheme), closed grade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35N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 tutorial fellowship, non-standard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36S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without tutorial fellowship (APNTF new scheme)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38S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 tutorial fellowship, University and College equal employers (APTF-F)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39S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AP with tutorial fellowship, College major employer (APTF-C)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A62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Clinical AP, old consultant contract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 xml:space="preserve">A82 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Clinical AP, new consultant contract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Senior researchers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RSIV/D35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Non-clinical senior researcher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E62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Senior clinical researcher, old consultant contract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E82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Senior clinical researcher, new consultant contract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D94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Royal Society Professors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Off-scale grades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A90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Academic off-scale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: s</w:t>
            </w: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taff on this grade are covered by the EJRA when their substantive post is one of the above or equivalent to one of the above.</w:t>
            </w:r>
          </w:p>
        </w:tc>
      </w:tr>
      <w:tr w:rsidR="00564628" w:rsidRPr="00B15B64" w:rsidTr="00564628">
        <w:trPr>
          <w:trHeight w:val="290"/>
        </w:trPr>
        <w:tc>
          <w:tcPr>
            <w:tcW w:w="1427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D90</w:t>
            </w:r>
          </w:p>
        </w:tc>
        <w:tc>
          <w:tcPr>
            <w:tcW w:w="3172" w:type="pct"/>
            <w:shd w:val="clear" w:color="auto" w:fill="auto"/>
            <w:noWrap/>
            <w:hideMark/>
          </w:tcPr>
          <w:p w:rsidR="00564628" w:rsidRPr="00B15B64" w:rsidRDefault="00564628" w:rsidP="00B15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Researcher off-scale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: s</w:t>
            </w:r>
            <w:r w:rsidRPr="00B15B64"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  <w:t>taff on this grade are covered by the EJRA when their substantive post is one of the above or equivalent to one of the above.</w:t>
            </w:r>
          </w:p>
        </w:tc>
      </w:tr>
    </w:tbl>
    <w:p w:rsidR="00D62071" w:rsidRDefault="00D62071" w:rsidP="00564628"/>
    <w:sectPr w:rsidR="00D62071" w:rsidSect="00B15B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4"/>
    <w:rsid w:val="0024471B"/>
    <w:rsid w:val="00564628"/>
    <w:rsid w:val="009A508D"/>
    <w:rsid w:val="00AB6859"/>
    <w:rsid w:val="00B15B64"/>
    <w:rsid w:val="00D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E16D1-B74D-4728-A3C3-47181A8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FairhurstJones</dc:creator>
  <cp:keywords/>
  <dc:description/>
  <cp:lastModifiedBy>Kate Butler</cp:lastModifiedBy>
  <cp:revision>2</cp:revision>
  <dcterms:created xsi:type="dcterms:W3CDTF">2022-12-09T17:16:00Z</dcterms:created>
  <dcterms:modified xsi:type="dcterms:W3CDTF">2022-12-09T17:16:00Z</dcterms:modified>
</cp:coreProperties>
</file>